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91F19D" w:rsidRDefault="0E91F19D" w14:paraId="2D869DD1" w14:textId="4749A8AD">
      <w:bookmarkStart w:name="_GoBack" w:id="0"/>
      <w:bookmarkEnd w:id="0"/>
      <w:r w:rsidR="0E91F19D">
        <w:rPr/>
        <w:t>Inclusion Policy</w:t>
      </w:r>
      <w:r w:rsidR="1F4259E7">
        <w:rPr/>
        <w:t xml:space="preserve"> – William Rainey Harper</w:t>
      </w:r>
    </w:p>
    <w:p w:rsidR="0E91F19D" w:rsidP="6D4C99B0" w:rsidRDefault="0E91F19D" w14:paraId="135ED824" w14:textId="5DA6254A">
      <w:pPr>
        <w:pStyle w:val="Normal"/>
      </w:pPr>
      <w:r w:rsidRPr="6D4C99B0" w:rsidR="0E91F19D">
        <w:rPr>
          <w:b w:val="1"/>
          <w:bCs w:val="1"/>
        </w:rPr>
        <w:t>Philosophy</w:t>
      </w:r>
      <w:r w:rsidRPr="6D4C99B0" w:rsidR="0E91F19D">
        <w:rPr>
          <w:b w:val="1"/>
          <w:bCs w:val="1"/>
        </w:rPr>
        <w:t xml:space="preserve"> and Purpose</w:t>
      </w:r>
    </w:p>
    <w:p w:rsidR="0E91F19D" w:rsidP="6D4C99B0" w:rsidRDefault="0E91F19D" w14:paraId="5BEF8474" w14:textId="149898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4C99B0" w:rsidR="0E91F19D">
        <w:rPr>
          <w:rFonts w:ascii="Work Sans" w:hAnsi="Work Sans" w:eastAsia="Work Sans" w:cs="Work Sans"/>
          <w:b w:val="0"/>
          <w:bCs w:val="0"/>
          <w:sz w:val="21"/>
          <w:szCs w:val="21"/>
        </w:rPr>
        <w:t>According to the Cleveland Metropolitan School District Enrollment Website, “</w:t>
      </w:r>
      <w:r w:rsidRPr="6D4C99B0" w:rsidR="0E91F19D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The Cleveland Metropolitan School District has an open enrollment policy that allows families</w:t>
      </w:r>
      <w:r w:rsidRPr="6D4C99B0" w:rsidR="0818C9B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[to]</w:t>
      </w:r>
      <w:r w:rsidRPr="6D4C99B0" w:rsidR="0E91F19D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apply for other schools.”. As such, William Rainey Harper is an open enrollment school, where spots are filled on a first come, first serve basis.</w:t>
      </w:r>
      <w:r w:rsidRPr="6D4C99B0" w:rsidR="0E91F19D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w:rsidR="1B6CCC60" w:rsidP="6D4C99B0" w:rsidRDefault="1B6CCC60" w14:paraId="0FC99E80" w14:textId="6057CEF7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1B6CCC60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At Harper, we firmly believe that all students can achieve, and can be successful global citizen</w:t>
      </w:r>
      <w:r w:rsidRPr="6D4C99B0" w:rsidR="6E764452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s. We</w:t>
      </w:r>
      <w:r w:rsidRPr="6D4C99B0" w:rsidR="1B6CCC60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work hard to meet students where they </w:t>
      </w:r>
      <w:r w:rsidRPr="6D4C99B0" w:rsidR="1E98FB05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are and</w:t>
      </w:r>
      <w:r w:rsidRPr="6D4C99B0" w:rsidR="1B6CCC60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support them in </w:t>
      </w:r>
      <w:r w:rsidRPr="6D4C99B0" w:rsidR="665AAC37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achieving their full potential. </w:t>
      </w:r>
      <w:r w:rsidRPr="6D4C99B0" w:rsidR="3C9052CF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To that end, we provide extra support for students who need it, following IEP and 504 plans as required by the district and the government. </w:t>
      </w:r>
      <w:r w:rsidRPr="6D4C99B0" w:rsidR="0B2E936E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Special education teachers who support students with IEPs and 504s are IB </w:t>
      </w:r>
      <w:r w:rsidRPr="6D4C99B0" w:rsidR="3D8A7DF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trained and</w:t>
      </w:r>
      <w:r w:rsidRPr="6D4C99B0" w:rsidR="0B2E936E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work collaboratively on units with classroom teachers. </w:t>
      </w:r>
    </w:p>
    <w:p w:rsidR="42F6E933" w:rsidP="6D4C99B0" w:rsidRDefault="42F6E933" w14:paraId="58D267FE" w14:textId="2681F9C2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Students who need extra support might include: </w:t>
      </w:r>
    </w:p>
    <w:p w:rsidR="42F6E933" w:rsidP="6D4C99B0" w:rsidRDefault="42F6E933" w14:paraId="7CA3953C" w14:textId="682368CD">
      <w:pPr>
        <w:pStyle w:val="ListParagraph"/>
        <w:numPr>
          <w:ilvl w:val="0"/>
          <w:numId w:val="2"/>
        </w:numPr>
        <w:rPr>
          <w:rFonts w:ascii="Work Sans" w:hAnsi="Work Sans" w:eastAsia="Work Sans" w:cs="Work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physical disabilities</w:t>
      </w:r>
    </w:p>
    <w:p w:rsidR="42F6E933" w:rsidP="6D4C99B0" w:rsidRDefault="42F6E933" w14:paraId="1353318B" w14:textId="24F449D5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emotional and behavioral challenges</w:t>
      </w:r>
    </w:p>
    <w:p w:rsidR="42F6E933" w:rsidP="6D4C99B0" w:rsidRDefault="42F6E933" w14:paraId="32C2E474" w14:textId="0789CECD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specific learning disabilities</w:t>
      </w:r>
    </w:p>
    <w:p w:rsidR="42F6E933" w:rsidP="6D4C99B0" w:rsidRDefault="42F6E933" w14:paraId="022E2D0D" w14:textId="0842A1C5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other health impairments</w:t>
      </w:r>
    </w:p>
    <w:p w:rsidR="42F6E933" w:rsidP="6D4C99B0" w:rsidRDefault="42F6E933" w14:paraId="25E2A5D7" w14:textId="6C36812F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sensory impairments</w:t>
      </w:r>
    </w:p>
    <w:p w:rsidR="42F6E933" w:rsidP="6D4C99B0" w:rsidRDefault="42F6E933" w14:paraId="60A0E82F" w14:textId="744A8113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with other health impairments</w:t>
      </w:r>
    </w:p>
    <w:p w:rsidR="42F6E933" w:rsidP="6D4C99B0" w:rsidRDefault="42F6E933" w14:paraId="2D0184D3" w14:textId="2E99284A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Those who are identified as gifted and talented</w:t>
      </w:r>
    </w:p>
    <w:p w:rsidR="6D4C99B0" w:rsidP="6D4C99B0" w:rsidRDefault="6D4C99B0" w14:paraId="49F671D7" w14:textId="09E496EC">
      <w:pPr>
        <w:pStyle w:val="Normal"/>
        <w:ind w:left="0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42F6E933" w:rsidP="6D4C99B0" w:rsidRDefault="42F6E933" w14:paraId="117A145B" w14:textId="5D59AD06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42F6E933">
        <w:rPr>
          <w:rFonts w:ascii="Work Sans" w:hAnsi="Work Sans" w:eastAsia="Work Sans" w:cs="Work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Practice</w:t>
      </w:r>
    </w:p>
    <w:p w:rsidR="42F6E933" w:rsidP="4E45AA1E" w:rsidRDefault="42F6E933" w14:paraId="478C1E78" w14:textId="40BEC7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E45AA1E" w:rsidR="42F6E93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At William Rainey Harper, we believe that all students are IB students. Within our school community, we provide a variety of supports both within and outside the classroom to help students access the full range of IB education. </w:t>
      </w:r>
      <w:r w:rsidRPr="4E45AA1E" w:rsidR="436CE23B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Instruction</w:t>
      </w:r>
      <w:r w:rsidRPr="4E45AA1E" w:rsidR="436CE23B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should be differentiated to meet the </w:t>
      </w:r>
      <w:r w:rsidRPr="4E45AA1E" w:rsidR="0CDB360C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needs</w:t>
      </w:r>
      <w:r w:rsidRPr="4E45AA1E" w:rsidR="436CE23B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of the student, and may include a variety of </w:t>
      </w:r>
      <w:r w:rsidRPr="4E45AA1E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tools and practices, such as: </w:t>
      </w:r>
    </w:p>
    <w:p w:rsidR="77227009" w:rsidP="6D4C99B0" w:rsidRDefault="77227009" w14:paraId="11A6E106" w14:textId="3205ABE3">
      <w:pPr>
        <w:pStyle w:val="ListParagraph"/>
        <w:numPr>
          <w:ilvl w:val="0"/>
          <w:numId w:val="3"/>
        </w:numPr>
        <w:rPr>
          <w:rFonts w:ascii="Work Sans" w:hAnsi="Work Sans" w:eastAsia="Work Sans" w:cs="Work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Scaffolding and differentiating assignments, projects, quizzes and tests</w:t>
      </w:r>
    </w:p>
    <w:p w:rsidR="77227009" w:rsidP="6D4C99B0" w:rsidRDefault="77227009" w14:paraId="095BB9E6" w14:textId="76D8E877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Intervention, specialized instruction, and enrichment for all students on all levels. </w:t>
      </w:r>
    </w:p>
    <w:p w:rsidR="77227009" w:rsidP="6D4C99B0" w:rsidRDefault="77227009" w14:paraId="38948623" w14:textId="12E329CB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Regular communication and planning with teams of teachers that include the Intervention Specialists, classroom teachers, and IB coordinator.</w:t>
      </w:r>
    </w:p>
    <w:p w:rsidR="77227009" w:rsidP="6D4C99B0" w:rsidRDefault="77227009" w14:paraId="61141C77" w14:textId="4F4357CA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All formative and summative assessments will be administered by licensed professionals in accordance with </w:t>
      </w:r>
      <w:r w:rsidRPr="6D4C99B0" w:rsidR="49FA8B94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students</w:t>
      </w: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D4C99B0" w:rsidR="0B55A66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documented required </w:t>
      </w: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modifications and</w:t>
      </w:r>
      <w:r w:rsidRPr="6D4C99B0" w:rsidR="668EA584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/or</w:t>
      </w: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D4C99B0" w:rsidR="6DA4AC96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accommodations</w:t>
      </w:r>
      <w:r w:rsidRPr="6D4C99B0" w:rsidR="772270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</w:t>
      </w:r>
    </w:p>
    <w:p w:rsidR="34423409" w:rsidP="6D4C99B0" w:rsidRDefault="34423409" w14:paraId="3C4602DD" w14:textId="49AC5EEA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D4C99B0" w:rsidR="34423409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Teachers and intervention specialists will use the data from formative and summative assessments to determine where students need extra support and have room to expand their learning and thinking. </w:t>
      </w:r>
    </w:p>
    <w:p w:rsidR="6D4C99B0" w:rsidP="6D4C99B0" w:rsidRDefault="6D4C99B0" w14:paraId="20054156" w14:textId="3B964A4C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6B946773" w:rsidP="6D4C99B0" w:rsidRDefault="6B946773" w14:paraId="65416669" w14:textId="7EB1B4FD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EF07C0B" w:rsidR="6B946773"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Source: Campus International School Inclusion Policy, 2017</w:t>
      </w:r>
    </w:p>
    <w:p w:rsidR="6D4C99B0" w:rsidP="0EF07C0B" w:rsidRDefault="6D4C99B0" w14:paraId="5F783888" w14:textId="7F568418">
      <w:pPr>
        <w:pStyle w:val="NoSpacing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EF07C0B" w:rsidR="001490F8">
        <w:rPr>
          <w:i w:val="1"/>
          <w:iCs w:val="1"/>
          <w:noProof w:val="0"/>
          <w:sz w:val="18"/>
          <w:szCs w:val="18"/>
          <w:lang w:val="en-US"/>
        </w:rPr>
        <w:t>Drafted Sept. 2022</w:t>
      </w:r>
    </w:p>
    <w:p w:rsidR="6D4C99B0" w:rsidP="0EF07C0B" w:rsidRDefault="6D4C99B0" w14:paraId="725B3DB3" w14:textId="1E88E842">
      <w:pPr>
        <w:pStyle w:val="NoSpacing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0B05E22" w:rsidR="001490F8">
        <w:rPr>
          <w:i w:val="1"/>
          <w:iCs w:val="1"/>
          <w:noProof w:val="0"/>
          <w:sz w:val="18"/>
          <w:szCs w:val="18"/>
          <w:lang w:val="en-US"/>
        </w:rPr>
        <w:t>Reviewed June 2023</w:t>
      </w:r>
    </w:p>
    <w:p w:rsidR="5F8B70C8" w:rsidP="40B05E22" w:rsidRDefault="5F8B70C8" w14:paraId="4BED8530" w14:textId="6ED148FD">
      <w:pPr>
        <w:pStyle w:val="NoSpacing"/>
        <w:rPr>
          <w:i w:val="1"/>
          <w:iCs w:val="1"/>
          <w:noProof w:val="0"/>
          <w:sz w:val="18"/>
          <w:szCs w:val="18"/>
          <w:lang w:val="en-US"/>
        </w:rPr>
      </w:pPr>
      <w:r w:rsidRPr="40B05E22" w:rsidR="5F8B70C8">
        <w:rPr>
          <w:i w:val="1"/>
          <w:iCs w:val="1"/>
          <w:noProof w:val="0"/>
          <w:sz w:val="18"/>
          <w:szCs w:val="18"/>
          <w:lang w:val="en-US"/>
        </w:rPr>
        <w:t>Reviewed F</w:t>
      </w:r>
    </w:p>
    <w:p w:rsidR="6D4C99B0" w:rsidP="0EF07C0B" w:rsidRDefault="6D4C99B0" w14:paraId="1D7CCECA" w14:textId="09069271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200365176" textId="986867147" start="228" length="11" invalidationStart="228" invalidationLength="11" id="dLJ/RmeM"/>
  </int:Manifest>
  <int:Observations>
    <int:Content id="dLJ/RmeM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fa6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7fe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295c9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AB2D2A"/>
    <w:rsid w:val="001490F8"/>
    <w:rsid w:val="02E50BB5"/>
    <w:rsid w:val="050AF54F"/>
    <w:rsid w:val="0818C9B3"/>
    <w:rsid w:val="08429611"/>
    <w:rsid w:val="09A45166"/>
    <w:rsid w:val="0B2E936E"/>
    <w:rsid w:val="0B55A663"/>
    <w:rsid w:val="0C462648"/>
    <w:rsid w:val="0CDB360C"/>
    <w:rsid w:val="0CDBF228"/>
    <w:rsid w:val="0D160734"/>
    <w:rsid w:val="0E91F19D"/>
    <w:rsid w:val="0EF07C0B"/>
    <w:rsid w:val="19F48A3C"/>
    <w:rsid w:val="1B6CCC60"/>
    <w:rsid w:val="1C841D90"/>
    <w:rsid w:val="1E98FB05"/>
    <w:rsid w:val="1F4259E7"/>
    <w:rsid w:val="22AB2D2A"/>
    <w:rsid w:val="22DA36B7"/>
    <w:rsid w:val="2949783B"/>
    <w:rsid w:val="2A129B8C"/>
    <w:rsid w:val="2AC562A4"/>
    <w:rsid w:val="2AFE70F9"/>
    <w:rsid w:val="2FB8B9BF"/>
    <w:rsid w:val="34423409"/>
    <w:rsid w:val="34941868"/>
    <w:rsid w:val="3967898B"/>
    <w:rsid w:val="3C9052CF"/>
    <w:rsid w:val="3D8A7DF9"/>
    <w:rsid w:val="3DA42817"/>
    <w:rsid w:val="3FD6CB0F"/>
    <w:rsid w:val="40B05E22"/>
    <w:rsid w:val="41729B70"/>
    <w:rsid w:val="42F6E933"/>
    <w:rsid w:val="436CE23B"/>
    <w:rsid w:val="49449F00"/>
    <w:rsid w:val="497DAD55"/>
    <w:rsid w:val="49FA8B94"/>
    <w:rsid w:val="4E45AA1E"/>
    <w:rsid w:val="4E511E78"/>
    <w:rsid w:val="51778463"/>
    <w:rsid w:val="522944C4"/>
    <w:rsid w:val="5501AC2E"/>
    <w:rsid w:val="5A879412"/>
    <w:rsid w:val="5F41DCD8"/>
    <w:rsid w:val="5F8B70C8"/>
    <w:rsid w:val="665AAC37"/>
    <w:rsid w:val="668EA584"/>
    <w:rsid w:val="68D78447"/>
    <w:rsid w:val="69F0CC4F"/>
    <w:rsid w:val="6B946773"/>
    <w:rsid w:val="6C3607BD"/>
    <w:rsid w:val="6D4C99B0"/>
    <w:rsid w:val="6DA4AC96"/>
    <w:rsid w:val="6E764452"/>
    <w:rsid w:val="7086E86A"/>
    <w:rsid w:val="772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2D2A"/>
  <w15:chartTrackingRefBased/>
  <w15:docId w15:val="{CBC7374B-72BC-406F-9257-54998A48C8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c74eddc4235c403e" /><Relationship Type="http://schemas.openxmlformats.org/officeDocument/2006/relationships/numbering" Target="numbering.xml" Id="R67dabebf913b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2021-11-23T18:07:29.7209173Z</dcterms:created>
  <dcterms:modified xsi:type="dcterms:W3CDTF">2024-04-03T13:33:18.5283404Z</dcterms:modified>
  <dc:creator>Grech, Rachael</dc:creator>
  <lastModifiedBy>Rachael Grech</lastModifiedBy>
</coreProperties>
</file>